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6" w:rsidRPr="00AE52DD" w:rsidRDefault="007E6F56" w:rsidP="00D05BED">
      <w:pPr>
        <w:pStyle w:val="a3"/>
        <w:jc w:val="center"/>
        <w:rPr>
          <w:rFonts w:ascii="Times New Roman" w:hAnsi="Times New Roman" w:cs="Times New Roman"/>
          <w:b/>
          <w:szCs w:val="15"/>
          <w:lang w:eastAsia="ru-RU"/>
        </w:rPr>
      </w:pP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B9" w:rsidRPr="00E77CB9" w:rsidRDefault="00337123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</w:t>
      </w:r>
      <w:bookmarkStart w:id="0" w:name="_GoBack"/>
      <w:bookmarkEnd w:id="0"/>
      <w:r w:rsidR="00E77CB9" w:rsidRPr="00E77CB9">
        <w:rPr>
          <w:rFonts w:ascii="Times New Roman" w:hAnsi="Times New Roman" w:cs="Times New Roman"/>
          <w:sz w:val="28"/>
          <w:szCs w:val="28"/>
        </w:rPr>
        <w:t>ЙСКАЯ ФЕДЕРАЦИЯ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4AD" w:rsidRDefault="00D734AD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4AD" w:rsidRPr="00E77CB9" w:rsidRDefault="00D734AD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3"/>
        <w:gridCol w:w="5441"/>
        <w:gridCol w:w="2426"/>
      </w:tblGrid>
      <w:tr w:rsidR="00D734AD" w:rsidRPr="00E77CB9" w:rsidTr="00F27402">
        <w:tc>
          <w:tcPr>
            <w:tcW w:w="1703" w:type="dxa"/>
          </w:tcPr>
          <w:p w:rsidR="00D734AD" w:rsidRPr="00E77CB9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77CB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D734AD" w:rsidRPr="00E77CB9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B9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D734AD" w:rsidRPr="00E77CB9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39</w:t>
            </w:r>
            <w:r w:rsidRPr="00E77CB9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D734AD" w:rsidRPr="00E77CB9" w:rsidRDefault="00D734AD" w:rsidP="00D7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D734AD" w:rsidRPr="00E77CB9" w:rsidRDefault="00D734AD" w:rsidP="00D734AD">
      <w:pPr>
        <w:pStyle w:val="a3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>Об основных направлениях бюджетной и налоговой политики Зотинского сельсовета 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годы </w:t>
      </w:r>
      <w:r w:rsidRPr="00E7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  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соответствии с решением Совета народных депутатов муниципального образования Зотинский сельсовет от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05.09.2013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 №  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25-8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«Об утверждении Положения о бюджетном процессе в муниципальном образовании Зотинский сельсовет», в целях составления проекта бюджета муниципального образования Зотинский сельсовет на 201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7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руководствуясь  ст. ст. 51, 52  Устава Зотинского сельсовета Туруханского района Красноярского края</w:t>
      </w:r>
    </w:p>
    <w:p w:rsidR="00D734AD" w:rsidRPr="00E77CB9" w:rsidRDefault="00D734AD" w:rsidP="00D734A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AD" w:rsidRPr="00E77CB9" w:rsidRDefault="00D734AD" w:rsidP="00D7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 </w:t>
      </w:r>
    </w:p>
    <w:p w:rsidR="00D734AD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основные направления бюджетной и налоговой политики Зотинского сельсовета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016 – 2018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D734AD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Считать утратившим силу  постановление администрации Зотинского сельсовета  от 06.11.2014  № 44-п « Об основных направлениях бюджетной и налоговой  политики Зотинского сельсовета на 2015-2017 годы»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2. Главному бухгалтеру обеспечить разработку проекта бюджета Зотинского сельсовета на основе основных направлений бюджетной и налоговой политики Зотинского сельсовета 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3. 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 Ведомости органов местного самоуправления Зотинского  сельсовета».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4. Контроль за  ис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настоящего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34AD" w:rsidRPr="00E77CB9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:   ________________  И. Г. Моисеева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E52DD" w:rsidRPr="00E77CB9" w:rsidRDefault="00AE52DD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2DD" w:rsidRPr="00E77CB9" w:rsidRDefault="00AE52DD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048" w:rsidRDefault="00E57048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048" w:rsidRDefault="00E57048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048" w:rsidRDefault="00E57048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0251C3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E6F56" w:rsidRPr="002601A2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4B"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F5444B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7CB9"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352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CB9"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7352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77CB9"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22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601A2"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07D72" w:rsidRPr="0067134A" w:rsidRDefault="00307D72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EF" w:rsidRPr="0067134A" w:rsidRDefault="005021EF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3" w:rsidRDefault="000251C3" w:rsidP="00E570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3" w:rsidRPr="002601A2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7E6F56" w:rsidRPr="002601A2" w:rsidRDefault="001A162B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90AF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8162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0251C3" w:rsidRPr="000251C3" w:rsidRDefault="007E6F56" w:rsidP="00E57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период 201</w:t>
      </w:r>
      <w:r w:rsidR="00B90AF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67134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61C68" w:rsidRPr="0067134A" w:rsidRDefault="00661C68" w:rsidP="002601A2">
      <w:pPr>
        <w:pStyle w:val="a3"/>
        <w:jc w:val="center"/>
        <w:rPr>
          <w:lang w:eastAsia="ru-RU"/>
        </w:rPr>
      </w:pPr>
    </w:p>
    <w:p w:rsidR="00661C68" w:rsidRDefault="00661C68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на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713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подготовлены в соответствии с бюджетным законодательством Российской Федерации в целях составления проекта бюджета на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713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Федерации, Бюджетного послания Президента Российской Федерации о бюджетной политике в 2014 - 2016 годах, указов Президента Российской Федерации от 7 мая 2012 года, Программы повышения эффективности управления общественными (государственными и муниципальными) финансами на период до 2018 года, государственных программ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1C3" w:rsidRPr="00661C68" w:rsidRDefault="000251C3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8" w:rsidRDefault="00661C68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данного документа осуществлялась с учетом итогов реализации бюджетной политики в период до 2014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-2015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Основных направлений налоговой политики на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713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251C3" w:rsidRDefault="000251C3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8" w:rsidRPr="000251C3" w:rsidRDefault="00661C68" w:rsidP="00E5704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Основных направлений бюджетной политики является описание условий, принимаемых для составления проекта </w:t>
      </w:r>
      <w:r w:rsidRPr="00025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6713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обеспечение прозрачности и отк</w:t>
      </w:r>
      <w:r w:rsidR="00E570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рытости бюджетного планирования.</w:t>
      </w:r>
    </w:p>
    <w:p w:rsidR="00661C68" w:rsidRPr="00661C68" w:rsidRDefault="00661C68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F56" w:rsidRPr="00E77CB9" w:rsidRDefault="007E6F56" w:rsidP="007E6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I. Основные результаты и проблемы бюджетной политики</w:t>
      </w:r>
    </w:p>
    <w:p w:rsidR="00C21F81" w:rsidRPr="000251C3" w:rsidRDefault="007E6F56" w:rsidP="00B57D04">
      <w:pPr>
        <w:rPr>
          <w:rFonts w:ascii="Times New Roman" w:hAnsi="Times New Roman" w:cs="Times New Roman"/>
          <w:sz w:val="28"/>
          <w:szCs w:val="28"/>
        </w:rPr>
      </w:pPr>
      <w:r w:rsidRPr="000251C3">
        <w:rPr>
          <w:rFonts w:ascii="Times New Roman" w:hAnsi="Times New Roman" w:cs="Times New Roman"/>
          <w:sz w:val="28"/>
          <w:szCs w:val="28"/>
        </w:rPr>
        <w:t xml:space="preserve">В 2012 году и в начале 2013 года бюджетная политика </w:t>
      </w:r>
      <w:r w:rsidR="00F5444B" w:rsidRPr="000251C3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Pr="000251C3">
        <w:rPr>
          <w:rFonts w:ascii="Times New Roman" w:hAnsi="Times New Roman" w:cs="Times New Roman"/>
          <w:sz w:val="28"/>
          <w:szCs w:val="28"/>
        </w:rPr>
        <w:t>была направлена на решение социально-экономических задач, в первую очередь поставленных в указах Президента Российской Федерации от 07 мая 2012 года, на обеспечение устойчивости бюджета поселения и повышение эффективности управления муниципальными финанс</w:t>
      </w:r>
      <w:r w:rsidR="00C21F81" w:rsidRPr="000251C3">
        <w:rPr>
          <w:rFonts w:ascii="Times New Roman" w:hAnsi="Times New Roman" w:cs="Times New Roman"/>
          <w:sz w:val="28"/>
          <w:szCs w:val="28"/>
        </w:rPr>
        <w:t xml:space="preserve">ами, в числе основных – улучшение условий жизни населения сельского поселения. </w:t>
      </w:r>
    </w:p>
    <w:p w:rsidR="00C21F81" w:rsidRPr="00E77CB9" w:rsidRDefault="007E6F56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Средняя заработная плата работников учреждений бюджетного сектора доведена до уровней, установленных Указом Президента Российской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Федерации от 07 мая 2012 года № 597</w:t>
      </w:r>
      <w:r w:rsidR="00CC451C" w:rsidRPr="00E77CB9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политики». 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</w:p>
    <w:p w:rsidR="00CC451C" w:rsidRPr="00E77CB9" w:rsidRDefault="00CC451C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в новом статусе начали осуществлять деятельность 2 казенных учреждения, с </w:t>
      </w:r>
      <w:r w:rsidR="00B57D04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80EB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</w:t>
      </w:r>
      <w:r w:rsidR="00880EB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учреждения</w:t>
      </w:r>
      <w:r w:rsidR="00880EB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мотивация учреждений к повышению качества предоставления услуг населению. </w:t>
      </w:r>
    </w:p>
    <w:p w:rsidR="00C21F81" w:rsidRPr="00E77CB9" w:rsidRDefault="007E6F56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r w:rsidR="00C21F81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B90AF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6713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 сформирован без дефицита. Это обеспечивает повышение устойчивости бюджета муниципального образования.</w:t>
      </w:r>
    </w:p>
    <w:p w:rsidR="000B4FF1" w:rsidRPr="002601A2" w:rsidRDefault="00522FBF" w:rsidP="002601A2">
      <w:pPr>
        <w:pStyle w:val="a3"/>
        <w:rPr>
          <w:rFonts w:ascii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По итогам 201</w:t>
      </w:r>
      <w:r w:rsidR="0067134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обеспечена положительная динамика основных показателей консолидированного бюджета Зотинского  сельсовета.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консолидированного бюджета 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67134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составило: по доходам –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34A">
        <w:rPr>
          <w:rFonts w:ascii="Times New Roman" w:hAnsi="Times New Roman" w:cs="Times New Roman"/>
          <w:sz w:val="28"/>
          <w:szCs w:val="28"/>
          <w:lang w:eastAsia="ru-RU"/>
        </w:rPr>
        <w:t>13020,77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тыс. рублей и по расходам –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34A">
        <w:rPr>
          <w:rFonts w:ascii="Times New Roman" w:hAnsi="Times New Roman" w:cs="Times New Roman"/>
          <w:sz w:val="28"/>
          <w:szCs w:val="28"/>
          <w:lang w:eastAsia="ru-RU"/>
        </w:rPr>
        <w:t>13373,46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свободный остаток средств</w:t>
      </w:r>
      <w:r w:rsidR="00B1430B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на 01.01.201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1027,7</w:t>
      </w:r>
      <w:r w:rsidR="003B0BE4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тыс.руб.)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, что на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0,25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или на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33,13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F20CB" w:rsidRPr="00E77CB9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201</w:t>
      </w:r>
      <w:r w:rsidR="0067134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доходам и на</w:t>
      </w:r>
      <w:r w:rsidR="00CF20CB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5,8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или на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772,15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 расходам. По результатам исполнения консолидированного бюджета Зотинского сельсовета 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сложился 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профицит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675,1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Объем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обственны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х налоговых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и неналоговы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доход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856,47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7,04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процента всех поступлений в бюджет Зотинского сельсовета. Прирост по сравнению с 201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годом составил  </w:t>
      </w:r>
      <w:r w:rsidR="00B82590">
        <w:rPr>
          <w:rFonts w:ascii="Times New Roman" w:hAnsi="Times New Roman" w:cs="Times New Roman"/>
          <w:sz w:val="28"/>
          <w:szCs w:val="28"/>
          <w:lang w:eastAsia="ru-RU"/>
        </w:rPr>
        <w:t>103,9</w:t>
      </w:r>
      <w:r w:rsidR="00E149F2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II. Основные задачи бюджетной политики на 201</w:t>
      </w:r>
      <w:r w:rsidR="00B90AF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– 201</w:t>
      </w:r>
      <w:r w:rsidR="00B82590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годы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Ранее поставленные цели бюджетной и налоговой политики 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: повышение качества жизни всех слоев населения, не потеряли своей актуальности и должны быть достигнуты с учетом решения новых задач п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преодолени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существующих проблем.</w:t>
      </w:r>
      <w:r w:rsidR="00CD7CB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</w:p>
    <w:p w:rsidR="00CD7CB5" w:rsidRPr="00E77CB9" w:rsidRDefault="00CD7CB5" w:rsidP="00F00753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граждан  в государственных и муниципальных услугах , увеличени</w:t>
      </w:r>
      <w:r w:rsidR="00B1430B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доступности и качества ,  выполнению государственных (муниципальных ) функций , реализации долгосрочных приоритетов и целей социально – экономического развития</w:t>
      </w:r>
      <w:r w:rsidR="00F00753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E77CB9" w:rsidRDefault="00776E71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Д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</w:t>
      </w:r>
      <w:r w:rsidR="007E6F56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пользу приоритетных направлений и про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грамм, обеспечивающих максимальное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достижение общественно значимых результатов, наиболее важные из которых установлены указами Президента Российской Федерации от 07 мая 2012 года.</w:t>
      </w:r>
      <w:r w:rsidR="000B4FF1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Многие программы рассчитаны на увеличение бюджетного финансирования, источники которого не обозначены.</w:t>
      </w:r>
    </w:p>
    <w:p w:rsidR="007E6F56" w:rsidRPr="00E77CB9" w:rsidRDefault="00776E71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ри формировании проекта бюджета муниципального образования </w:t>
      </w:r>
      <w:r w:rsidR="00B102F1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="00B102F1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-201</w:t>
      </w:r>
      <w:r w:rsidR="00B8259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для достижения целей бюджетной политики особое внимание следует уделить решению следующих основных задач.</w:t>
      </w:r>
    </w:p>
    <w:p w:rsidR="007E6F56" w:rsidRPr="00E77CB9" w:rsidRDefault="007E6F56" w:rsidP="00CC4A0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lastRenderedPageBreak/>
        <w:t xml:space="preserve">Обеспечение долгосрочной сбалансированности и устойчивости бюджета муниципального образования </w:t>
      </w:r>
      <w:r w:rsidR="00776E71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Зотинский сельсовет, 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как базового принципа ответственной бюджетной политики при безусловном исполнении всех обязательств </w:t>
      </w:r>
      <w:r w:rsidR="00776E71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776E71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и выполнении задач, поставленных в указах Президента Российской Федерации от 07 мая 2012 года. </w:t>
      </w:r>
    </w:p>
    <w:p w:rsidR="00B102F1" w:rsidRDefault="00091A2A" w:rsidP="002601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Формирование бюджета с учетом долгосрочного прогноза основных параметров бюджет</w:t>
      </w:r>
      <w:r w:rsidR="00CD7CB5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систематический анализ и оценка рисков для бюджет</w:t>
      </w:r>
      <w:r w:rsidR="0023346E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полнота учета финансовых и других ресурсов, направленные на достижение целей государственной и муниципальной политики. Принятие расходных обязательств</w:t>
      </w:r>
      <w:r w:rsidR="00C6240A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 при  наличии четкой оценки</w:t>
      </w:r>
      <w:r w:rsidR="00C6240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их исполнения бюджетных ассигнований, принятие новых расходных обязательств с учетом сроков их реализации и принципов реализации.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долгосрочного бюджетного планирования будут муниципальные программы </w:t>
      </w:r>
      <w:r w:rsidR="00C6240A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станут основным механизмом, с помощью которого увязываются стратегическое и бюджетное планирование.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Бюджетные расходы на непрограммные направления деятельности органов местного самоуправления должны быть финансово-экономически обоснованы, их удельный вес в бюджете не значителен. 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налогового потенциала </w:t>
      </w:r>
      <w:r w:rsidR="00CC4A08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использование собственных налоговых ресурсов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7B" w:rsidRPr="002601A2" w:rsidRDefault="00CE407B" w:rsidP="002601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F56" w:rsidRPr="00E77CB9" w:rsidRDefault="007E6F56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2. Оптимизация структуры расходов бюджета муниципального образования </w:t>
      </w:r>
      <w:r w:rsidR="0067619B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>Зотинский сельсовет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="0023346E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</w:p>
    <w:p w:rsidR="00816420" w:rsidRPr="00E77CB9" w:rsidRDefault="004C1AFC" w:rsidP="004C1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Приоритезация</w:t>
      </w:r>
      <w:r w:rsidR="002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в сфере социально-экономического развития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формировании базовых расходов бюджета сельского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Президента Российской Федерации.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государственных нужд.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2)Продолжится оптимизация расходов по содержанию органов власти местного самоуправления на основе нормирования управленческих расходов в части материальных затрат. </w:t>
      </w:r>
    </w:p>
    <w:p w:rsidR="002601A2" w:rsidRPr="00E57048" w:rsidRDefault="004C1AFC" w:rsidP="00E57048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) обеспечение реализации мероприятий по энергосбережению. В соответствии с Федеральным законом от 23.11. 2009 № 261-ФЗ планирование расходов бюджета на оплату потребляемых муниципальными учреждениями топливно-энергетических ресурсов на 201</w:t>
      </w:r>
      <w:r w:rsidR="00F71A78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–201</w:t>
      </w:r>
      <w:r w:rsidR="00B8259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должно осуществляться с учетом сокращения объемов их потребления в натуральном выражении на 3% к предыдущему году;</w:t>
      </w:r>
    </w:p>
    <w:p w:rsidR="007E6F56" w:rsidRPr="00E77CB9" w:rsidRDefault="007E6F56" w:rsidP="004C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3. Развитие программно-целевых методов управления.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бюджетов. Муниципальные программы должны стать ключевым механизмом, с помощью которого увязываются стратегическое и бюджетное планирование. 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Проект бюджета муниципального образования </w:t>
      </w:r>
      <w:r w:rsidR="00720557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="00720557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-201</w:t>
      </w:r>
      <w:r w:rsidR="00B8259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сформирован в структуре муниципальных программ и непрограммных мероприятий. При этом муниципальные программы поселения, являясь инструментом реализации политики </w:t>
      </w:r>
      <w:r w:rsidR="00816420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поселения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7E6F56" w:rsidRPr="00E77CB9" w:rsidRDefault="00720557" w:rsidP="00F0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7E6F56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Развитие налогового потенциала территории.</w:t>
      </w:r>
    </w:p>
    <w:p w:rsidR="00E3687F" w:rsidRPr="00E77CB9" w:rsidRDefault="00720557" w:rsidP="00720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Зотинского сельсовета – создание условий для обеспечения долгосрочной сбалансированности и устойчивости бюджета сельского поселения.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Важным направлением реализации налоговой политики является совершенствование налого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обложения недвижимого имущества</w:t>
      </w:r>
      <w:r w:rsidR="00265B60" w:rsidRPr="00E77CB9">
        <w:rPr>
          <w:rFonts w:ascii="Times New Roman" w:hAnsi="Times New Roman" w:cs="Times New Roman"/>
          <w:sz w:val="28"/>
          <w:szCs w:val="28"/>
          <w:lang w:eastAsia="ru-RU"/>
        </w:rPr>
        <w:t>, земельных участков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продолжена ежегодная оценка эффективности социальных, бюджетных, экономических стимулов расширения налоговой базы за счет установления решениями </w:t>
      </w:r>
      <w:r w:rsidR="00F244DE" w:rsidRPr="00E77CB9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налоговых льгот, а также приняты меры по отмене при их неэффективности.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Расширение налогового потенциала сельского поселения предусматривается за счет принимаемых мер по снижению задолженности по платежам в бюджет.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Продолжится практика ведения мониторинга изменений федерального и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законодательства внесение соответствующих изменений в правовые акты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Важнейшим направлением остается разработка и реализация механизмов контроля за исполнением доходов консолидированного бюджета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820F9B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и снижением недоимки. </w:t>
      </w:r>
    </w:p>
    <w:p w:rsidR="00E3687F" w:rsidRPr="00E77CB9" w:rsidRDefault="00E3687F" w:rsidP="00720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372" w:rsidRPr="00E77CB9" w:rsidRDefault="000B4FF1" w:rsidP="00CE4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5. Развитие межбюджетных отношений</w:t>
      </w:r>
      <w:r w:rsidR="00E3687F" w:rsidRPr="00E7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3687F" w:rsidRPr="00E7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трехлетних бюджетов в программном формате, обеспечения реализации указов Президента Российской Федерации и дальнейшего изменения в разграничении полномочий.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</w:t>
      </w:r>
      <w:r w:rsidR="002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должны быть исключены риски 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несбалансированности местных </w:t>
      </w:r>
      <w:r w:rsidR="002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бюджетов. Особое внимание будет уделено недопущению образования просроченной кредиторской задолженности. 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осуществления качественного бюджетного процесса необходимо обеспечить принятие сбалансированного бюджета сельского поселения на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B825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непрограммном формате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января 201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 развития. </w:t>
      </w:r>
      <w:r w:rsidR="00E3687F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формирования межбюджетных отношений усилится ответственность за проведение эффективной бюджетной политики.</w:t>
      </w:r>
    </w:p>
    <w:p w:rsidR="00693A78" w:rsidRPr="00E77CB9" w:rsidRDefault="00693A78" w:rsidP="000B4F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78" w:rsidRPr="00E77CB9" w:rsidRDefault="00693A78" w:rsidP="00693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6. Повышение прозрачности бюджета и бюджетного процесса.</w:t>
      </w:r>
    </w:p>
    <w:p w:rsidR="00693A78" w:rsidRPr="00E77CB9" w:rsidRDefault="00693A78" w:rsidP="00693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Наряду с формированием и исполнением бюджета сел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ьского поселения гражданам пред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ставится 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Обеспечению открытости и подконтрольности бюджетного процесса будет способствовать проведение публичных слушаний по проекту бюджета сельского поселения, отчету о его исполнении, а также о наиболее крупных муниципальных закупках. </w:t>
      </w:r>
    </w:p>
    <w:p w:rsidR="00693A78" w:rsidRPr="00E77CB9" w:rsidRDefault="00693A78" w:rsidP="00693A78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693A78" w:rsidRPr="00E77CB9" w:rsidRDefault="00693A78" w:rsidP="00693A78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F244DE" w:rsidP="00307D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93A78" w:rsidRPr="00E77CB9">
        <w:rPr>
          <w:rFonts w:ascii="Times New Roman" w:hAnsi="Times New Roman" w:cs="Times New Roman"/>
          <w:b/>
          <w:sz w:val="28"/>
          <w:szCs w:val="28"/>
        </w:rPr>
        <w:t xml:space="preserve">7. Развитие и повышение эффективности </w:t>
      </w:r>
      <w:r w:rsidR="00693A78" w:rsidRPr="00E77CB9">
        <w:rPr>
          <w:rFonts w:ascii="Times New Roman" w:hAnsi="Times New Roman" w:cs="Times New Roman"/>
          <w:b/>
          <w:sz w:val="28"/>
          <w:szCs w:val="28"/>
        </w:rPr>
        <w:br/>
      </w:r>
      <w:r w:rsidRPr="00E77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93A78" w:rsidRPr="00E77CB9">
        <w:rPr>
          <w:rFonts w:ascii="Times New Roman" w:hAnsi="Times New Roman" w:cs="Times New Roman"/>
          <w:b/>
          <w:sz w:val="28"/>
          <w:szCs w:val="28"/>
        </w:rPr>
        <w:t xml:space="preserve">муниципального финансового контроля </w:t>
      </w:r>
      <w:r w:rsidR="00693A78" w:rsidRPr="00E77CB9">
        <w:rPr>
          <w:rFonts w:ascii="Times New Roman" w:hAnsi="Times New Roman" w:cs="Times New Roman"/>
          <w:b/>
          <w:sz w:val="28"/>
          <w:szCs w:val="28"/>
        </w:rPr>
        <w:br/>
      </w:r>
      <w:r w:rsidRPr="00E77C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93A78" w:rsidRPr="00E77CB9">
        <w:rPr>
          <w:rFonts w:ascii="Times New Roman" w:hAnsi="Times New Roman" w:cs="Times New Roman"/>
          <w:b/>
          <w:sz w:val="28"/>
          <w:szCs w:val="28"/>
        </w:rPr>
        <w:br/>
      </w:r>
      <w:r w:rsidRPr="00E77C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3A78" w:rsidRPr="00E77CB9">
        <w:rPr>
          <w:rFonts w:ascii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Зотинского сельсовета. </w:t>
      </w:r>
      <w:r w:rsidR="00693A78" w:rsidRPr="00E77CB9">
        <w:rPr>
          <w:rFonts w:ascii="Times New Roman" w:hAnsi="Times New Roman" w:cs="Times New Roman"/>
          <w:sz w:val="28"/>
          <w:szCs w:val="28"/>
        </w:rPr>
        <w:br/>
      </w:r>
      <w:r w:rsidR="00307D72">
        <w:rPr>
          <w:rFonts w:ascii="Times New Roman" w:hAnsi="Times New Roman" w:cs="Times New Roman"/>
          <w:sz w:val="28"/>
          <w:szCs w:val="28"/>
        </w:rPr>
        <w:t xml:space="preserve">       </w:t>
      </w:r>
      <w:r w:rsidR="00693A78" w:rsidRPr="00E77CB9">
        <w:rPr>
          <w:rFonts w:ascii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 внесении изменений в Бюджетный кодекс Российской Федерации и </w:t>
      </w:r>
      <w:r w:rsidR="00693A78" w:rsidRPr="00E77CB9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Федерации» изменениями в Бюджетный кодекс Российской Федерации в части регулирования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(муниципального)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Зотинского сельсовета, в том числе: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внутреннего муниципального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Зотинского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93A78" w:rsidRPr="00E77CB9">
        <w:rPr>
          <w:rFonts w:ascii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финансами и результативности муниципальных пр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 xml:space="preserve">ограмм Зотинского сельсовета. 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val="en-US" w:eastAsia="ru-RU"/>
        </w:rPr>
        <w:t>III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  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Приоритетные расходы бюджета муниципального образования Зотинский сельсовет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на 201</w:t>
      </w:r>
      <w:r w:rsidR="00B90AF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 и на плановый период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201</w:t>
      </w:r>
      <w:r w:rsidR="00B90AF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7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201</w:t>
      </w:r>
      <w:r w:rsidR="00B82590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годов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Формирование объема и структуры расходов бюджета муниципального образования Зотинский сельсовет 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-201</w:t>
      </w:r>
      <w:r w:rsidR="00B82590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осуществляться исходя из следующих основных подходов: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определение объемов бюджетных ассигнований на исполнение действующих расходных обязательств Зотинский сельсовет: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7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год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ы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на основе объемов расходов, утвержденных решением Совета народных депутатов о бюджете муниципального образования Зотинский сельсовет 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5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год и на плановый период 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7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гг.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учетом оптимизации муниципальных закупок, межбюджетных трансфертов, а также дополнительных расходов, необходимых на реализацию выполнения указов Президента Российской Федерации от 07 мая 2012 года;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- исходя из необходимости финансового обеспечения длящихся расходных обязательств.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определение бюджетных ассигнований на исполнение принимаемых расходных обязательств Зотинского сельсовета исходя из суммы доходов бюджета муниципального образования Зотинский сельсовет в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годах.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выработанных бюджетных подходов к формированию расходов бюджета муниципального образования Зотинский сельсовет на предстоящие три года будут обеспечены следующие приоритеты в отраслях бюджетной сферы Зотинского сельсовета </w:t>
      </w:r>
    </w:p>
    <w:p w:rsidR="001D5372" w:rsidRPr="00E77CB9" w:rsidRDefault="00265B60" w:rsidP="001D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.1. В сфере культуры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качества и расширение спектра муниципальных услуг в сфере культуры, организация процесса модернизации библиотек и библиотечного дела;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доступности к культурному продукту путем информатизации отрасли;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сохранение культурного и исторического наследия Зотинского сельсовета, обеспечение доступа граждан к культурным ценностям. 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 исполнение Указа Президента Российской Федерации от 07 мая 2012 года № 597 "О мероприятиях по реализации государственной социальной политики" будет обеспечено доведение к 2018 году средней заработной платы работников культуры до средней заработной платы. Повышение финансовой самостоятельности учреждений культуры должно способствовать повышению качества оказываемых услуг.</w:t>
      </w:r>
    </w:p>
    <w:p w:rsidR="001D5372" w:rsidRPr="00E77CB9" w:rsidRDefault="00265B60" w:rsidP="001D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.2.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В сфере </w:t>
      </w:r>
      <w:r w:rsidR="00737E75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молодежной политики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Приоритетными направлениями бюджетной политики в сфере </w:t>
      </w:r>
      <w:r w:rsidR="00737E7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молодежной политики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являются:</w:t>
      </w:r>
    </w:p>
    <w:p w:rsidR="00737E75" w:rsidRPr="00E77CB9" w:rsidRDefault="001D5372" w:rsidP="0073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hAnsi="Times New Roman" w:cs="Times New Roman"/>
          <w:sz w:val="28"/>
          <w:szCs w:val="28"/>
        </w:rPr>
        <w:t xml:space="preserve">создание условий для современного патриотического развития молодёжи на территории </w:t>
      </w:r>
      <w:r w:rsidR="00737E75" w:rsidRPr="00E77CB9">
        <w:rPr>
          <w:rFonts w:ascii="Times New Roman" w:hAnsi="Times New Roman" w:cs="Times New Roman"/>
          <w:color w:val="000000"/>
          <w:sz w:val="28"/>
          <w:szCs w:val="28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;</w:t>
      </w:r>
    </w:p>
    <w:p w:rsidR="00737E75" w:rsidRPr="00E77CB9" w:rsidRDefault="001D5372" w:rsidP="00737E7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 xml:space="preserve">- </w:t>
      </w:r>
      <w:r w:rsidR="00737E75" w:rsidRPr="00E77CB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устойчивой жизненной позиции</w:t>
      </w:r>
      <w:r w:rsidR="00737E75" w:rsidRPr="00E77C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7A52FD" w:rsidRPr="00307D72" w:rsidRDefault="00737E75" w:rsidP="00307D72">
      <w:pPr>
        <w:pStyle w:val="a3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E77C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CB9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</w:t>
      </w:r>
    </w:p>
    <w:p w:rsidR="001D5372" w:rsidRPr="00E77CB9" w:rsidRDefault="00265B60" w:rsidP="001D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жилищно-коммунального хозяйства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201</w:t>
      </w:r>
      <w:r w:rsidR="00B90AF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6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году продолжится работа по формированию благоприятной среды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737E75" w:rsidRPr="00E77CB9" w:rsidRDefault="001D5372" w:rsidP="00F56E1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организация уличного освещения населенных пунктов;</w:t>
      </w:r>
    </w:p>
    <w:p w:rsidR="001D5372" w:rsidRPr="00E77CB9" w:rsidRDefault="001D5372" w:rsidP="001D53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проведение мероприятий по посадке и уходу за зелеными насаждениями, выращивание </w:t>
      </w:r>
      <w:r w:rsidR="00737E7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и высадка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цветочной рассады;</w:t>
      </w:r>
    </w:p>
    <w:p w:rsidR="001D5372" w:rsidRPr="00E77CB9" w:rsidRDefault="001D5372" w:rsidP="001D53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организация содержания мест захоронения:</w:t>
      </w:r>
    </w:p>
    <w:p w:rsidR="001D5372" w:rsidRPr="00E77CB9" w:rsidRDefault="001D5372" w:rsidP="001D537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Организация сбора и вывоза мусора;</w:t>
      </w:r>
    </w:p>
    <w:p w:rsidR="007A52FD" w:rsidRPr="00E77CB9" w:rsidRDefault="001D5372" w:rsidP="007A52FD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Создание и обустройство детских спортивных площадок</w:t>
      </w:r>
    </w:p>
    <w:p w:rsidR="001D5372" w:rsidRPr="00E77CB9" w:rsidRDefault="00265B60" w:rsidP="001D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управления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управления будет направлена на: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эффективности бюджетных расходов за счет оптимизации муниципальных закупок;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выполнение нормативов формирования расходов на обеспечение деятельности органов местного самоуправления;</w:t>
      </w:r>
    </w:p>
    <w:p w:rsidR="001D5372" w:rsidRPr="00E77CB9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</w:r>
    </w:p>
    <w:p w:rsidR="001D5372" w:rsidRPr="00E77CB9" w:rsidRDefault="00265B60" w:rsidP="00AA4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3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</w:t>
      </w:r>
      <w:r w:rsidRPr="00E77CB9">
        <w:rPr>
          <w:rFonts w:ascii="Times New Roman" w:hAnsi="Times New Roman" w:cs="Times New Roman"/>
          <w:b/>
          <w:sz w:val="28"/>
          <w:szCs w:val="28"/>
        </w:rPr>
        <w:t>5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 В сфере обеспечения безопасности граждан, гражданской обороны,</w:t>
      </w:r>
    </w:p>
    <w:p w:rsidR="001D5372" w:rsidRPr="00E77CB9" w:rsidRDefault="001D5372" w:rsidP="00AA4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предотвращения чрезвычайных ситуаций</w:t>
      </w:r>
    </w:p>
    <w:p w:rsidR="00265B60" w:rsidRDefault="001D5372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обеспечения безопасности граждан, гражданской обороны, предотвращения чрезвычайных ситуаций будет направлена на обеспечение выполнения Соглашения с Администрацией Туруханского района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работ, осуществление поиска и спасания людей на водных объектах.</w:t>
      </w:r>
    </w:p>
    <w:p w:rsidR="00CE407B" w:rsidRDefault="00CE407B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CE407B" w:rsidRDefault="00CE407B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CE407B" w:rsidRDefault="00CE407B" w:rsidP="001D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57048" w:rsidRDefault="00E57048" w:rsidP="007F72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048" w:rsidRPr="00816276" w:rsidRDefault="00E57048" w:rsidP="007F72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D68" w:rsidRPr="00816276" w:rsidRDefault="00265B60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94D68" w:rsidRPr="00816276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FE0B89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94D68" w:rsidRPr="00816276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Зотинского сельсовета</w:t>
      </w:r>
    </w:p>
    <w:p w:rsidR="00994D68" w:rsidRDefault="00994D68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276"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352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6276"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7352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22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16276"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F72FE" w:rsidRPr="007F72FE" w:rsidRDefault="007F72FE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8" w:rsidRPr="00E77CB9" w:rsidRDefault="00994D68" w:rsidP="00994D68">
      <w:pPr>
        <w:pStyle w:val="Default"/>
        <w:rPr>
          <w:b/>
          <w:sz w:val="28"/>
          <w:szCs w:val="28"/>
        </w:rPr>
      </w:pPr>
      <w:r w:rsidRPr="00E77CB9">
        <w:rPr>
          <w:b/>
          <w:sz w:val="28"/>
          <w:szCs w:val="28"/>
        </w:rPr>
        <w:t xml:space="preserve">Основные характеристики бюджета муниципального образования </w:t>
      </w:r>
    </w:p>
    <w:tbl>
      <w:tblPr>
        <w:tblStyle w:val="a8"/>
        <w:tblW w:w="15618" w:type="dxa"/>
        <w:tblLayout w:type="fixed"/>
        <w:tblLook w:val="0000" w:firstRow="0" w:lastRow="0" w:firstColumn="0" w:lastColumn="0" w:noHBand="0" w:noVBand="0"/>
      </w:tblPr>
      <w:tblGrid>
        <w:gridCol w:w="2802"/>
        <w:gridCol w:w="483"/>
        <w:gridCol w:w="1545"/>
        <w:gridCol w:w="2292"/>
        <w:gridCol w:w="216"/>
        <w:gridCol w:w="20"/>
        <w:gridCol w:w="2106"/>
        <w:gridCol w:w="1533"/>
        <w:gridCol w:w="4621"/>
      </w:tblGrid>
      <w:tr w:rsidR="00994D68" w:rsidRPr="00E77CB9" w:rsidTr="00AA4B8E">
        <w:trPr>
          <w:trHeight w:val="702"/>
        </w:trPr>
        <w:tc>
          <w:tcPr>
            <w:tcW w:w="10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D952BB" w:rsidP="00C537EC">
            <w:pPr>
              <w:pStyle w:val="Default"/>
              <w:ind w:right="-4530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Зотинский сельсовет</w:t>
            </w:r>
            <w:r w:rsidR="00994D68" w:rsidRPr="00E77CB9">
              <w:rPr>
                <w:b/>
                <w:sz w:val="28"/>
                <w:szCs w:val="28"/>
              </w:rPr>
              <w:t xml:space="preserve"> на 201</w:t>
            </w:r>
            <w:r w:rsidR="00B90AF4">
              <w:rPr>
                <w:b/>
                <w:sz w:val="28"/>
                <w:szCs w:val="28"/>
              </w:rPr>
              <w:t>6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  <w:r w:rsidR="00994D68" w:rsidRPr="00E77CB9">
              <w:rPr>
                <w:b/>
                <w:sz w:val="28"/>
                <w:szCs w:val="28"/>
              </w:rPr>
              <w:t xml:space="preserve"> и на плановый период 201</w:t>
            </w:r>
            <w:r w:rsidR="00B90AF4">
              <w:rPr>
                <w:b/>
                <w:sz w:val="28"/>
                <w:szCs w:val="28"/>
              </w:rPr>
              <w:t>7</w:t>
            </w:r>
            <w:r w:rsidR="00994D68" w:rsidRPr="00E77CB9">
              <w:rPr>
                <w:b/>
                <w:sz w:val="28"/>
                <w:szCs w:val="28"/>
              </w:rPr>
              <w:t xml:space="preserve"> </w:t>
            </w:r>
            <w:r w:rsidRPr="00E77CB9">
              <w:rPr>
                <w:b/>
                <w:sz w:val="28"/>
                <w:szCs w:val="28"/>
              </w:rPr>
              <w:t>-</w:t>
            </w:r>
            <w:r w:rsidR="00994D68" w:rsidRPr="00E77CB9">
              <w:rPr>
                <w:b/>
                <w:sz w:val="28"/>
                <w:szCs w:val="28"/>
              </w:rPr>
              <w:t xml:space="preserve"> </w:t>
            </w:r>
            <w:r w:rsidRPr="00E77CB9">
              <w:rPr>
                <w:b/>
                <w:sz w:val="28"/>
                <w:szCs w:val="28"/>
              </w:rPr>
              <w:t>201</w:t>
            </w:r>
            <w:r w:rsidR="00B90AF4">
              <w:rPr>
                <w:b/>
                <w:sz w:val="28"/>
                <w:szCs w:val="28"/>
              </w:rPr>
              <w:t>8</w:t>
            </w:r>
            <w:r w:rsidR="00994D68" w:rsidRPr="00E77CB9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994D68" w:rsidP="00994D68">
            <w:pPr>
              <w:pStyle w:val="Default"/>
              <w:ind w:left="3582"/>
              <w:rPr>
                <w:b/>
                <w:sz w:val="28"/>
                <w:szCs w:val="28"/>
              </w:rPr>
            </w:pPr>
          </w:p>
        </w:tc>
      </w:tr>
      <w:tr w:rsidR="007971CE" w:rsidRPr="00E77CB9" w:rsidTr="00816276">
        <w:trPr>
          <w:gridAfter w:val="2"/>
          <w:wAfter w:w="6154" w:type="dxa"/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CE" w:rsidRPr="00E77CB9" w:rsidRDefault="007971CE" w:rsidP="00D952BB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 w:rsidP="00D952BB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Объем в тыс. 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90AF4" w:rsidRPr="00E77CB9" w:rsidTr="00816276">
        <w:trPr>
          <w:gridAfter w:val="2"/>
          <w:wAfter w:w="6154" w:type="dxa"/>
          <w:trHeight w:val="32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4" w:rsidRPr="00E77CB9" w:rsidRDefault="00B90A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FB79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201</w:t>
            </w:r>
            <w:r w:rsidRPr="00E77CB9">
              <w:rPr>
                <w:b/>
                <w:sz w:val="28"/>
                <w:szCs w:val="28"/>
                <w:lang w:val="en-US"/>
              </w:rPr>
              <w:t>6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AF4" w:rsidRPr="00E77CB9" w:rsidRDefault="00B90AF4" w:rsidP="00FB79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201</w:t>
            </w:r>
            <w:r w:rsidRPr="00E77CB9">
              <w:rPr>
                <w:b/>
                <w:sz w:val="28"/>
                <w:szCs w:val="28"/>
                <w:lang w:val="en-US"/>
              </w:rPr>
              <w:t>7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7971C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B90AF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  <w:tcBorders>
              <w:top w:val="single" w:sz="4" w:space="0" w:color="auto"/>
            </w:tcBorders>
          </w:tcPr>
          <w:p w:rsidR="00994D68" w:rsidRPr="00E77CB9" w:rsidRDefault="00994D6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Доходы – всего, тыс.руб.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vAlign w:val="center"/>
          </w:tcPr>
          <w:p w:rsidR="00994D68" w:rsidRPr="00C537EC" w:rsidRDefault="00C537EC" w:rsidP="00A748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10447,82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  <w:vAlign w:val="center"/>
          </w:tcPr>
          <w:p w:rsidR="00994D68" w:rsidRPr="00C537EC" w:rsidRDefault="00C537EC" w:rsidP="00A748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10447,82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994D68" w:rsidRPr="00C537EC" w:rsidRDefault="00C537EC" w:rsidP="00A748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10447,82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9464" w:type="dxa"/>
            <w:gridSpan w:val="7"/>
          </w:tcPr>
          <w:p w:rsidR="00994D68" w:rsidRPr="00E77CB9" w:rsidRDefault="00994D6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в том числе: </w:t>
            </w:r>
          </w:p>
        </w:tc>
      </w:tr>
      <w:tr w:rsidR="00F56E14" w:rsidRPr="00E77CB9" w:rsidTr="00816276">
        <w:trPr>
          <w:gridAfter w:val="2"/>
          <w:wAfter w:w="6154" w:type="dxa"/>
          <w:trHeight w:val="289"/>
        </w:trPr>
        <w:tc>
          <w:tcPr>
            <w:tcW w:w="2802" w:type="dxa"/>
          </w:tcPr>
          <w:p w:rsidR="00F56E14" w:rsidRPr="00E77CB9" w:rsidRDefault="00F56E14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 налоговые и неналоговые доходы </w:t>
            </w:r>
          </w:p>
        </w:tc>
        <w:tc>
          <w:tcPr>
            <w:tcW w:w="2028" w:type="dxa"/>
            <w:gridSpan w:val="2"/>
            <w:vAlign w:val="center"/>
          </w:tcPr>
          <w:p w:rsidR="00F56E14" w:rsidRPr="00B90AF4" w:rsidRDefault="00B90AF4" w:rsidP="00A748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860,78</w:t>
            </w:r>
          </w:p>
        </w:tc>
        <w:tc>
          <w:tcPr>
            <w:tcW w:w="2508" w:type="dxa"/>
            <w:gridSpan w:val="2"/>
            <w:vAlign w:val="center"/>
          </w:tcPr>
          <w:p w:rsidR="00F56E14" w:rsidRPr="00B90AF4" w:rsidRDefault="00B90AF4" w:rsidP="00F5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920,16</w:t>
            </w:r>
          </w:p>
        </w:tc>
        <w:tc>
          <w:tcPr>
            <w:tcW w:w="2126" w:type="dxa"/>
            <w:gridSpan w:val="2"/>
            <w:vAlign w:val="center"/>
          </w:tcPr>
          <w:p w:rsidR="00F56E14" w:rsidRPr="00B90AF4" w:rsidRDefault="00B90AF4" w:rsidP="00F5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997,58</w:t>
            </w:r>
          </w:p>
        </w:tc>
      </w:tr>
      <w:tr w:rsidR="00994D68" w:rsidRPr="00E77CB9" w:rsidTr="00816276">
        <w:trPr>
          <w:gridAfter w:val="2"/>
          <w:wAfter w:w="6154" w:type="dxa"/>
          <w:trHeight w:val="449"/>
        </w:trPr>
        <w:tc>
          <w:tcPr>
            <w:tcW w:w="2802" w:type="dxa"/>
          </w:tcPr>
          <w:p w:rsidR="00994D68" w:rsidRPr="00E77CB9" w:rsidRDefault="00994D6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дотация на выравнивание уровня бюджетной обеспеченности муниципального района </w:t>
            </w:r>
          </w:p>
        </w:tc>
        <w:tc>
          <w:tcPr>
            <w:tcW w:w="2028" w:type="dxa"/>
            <w:gridSpan w:val="2"/>
            <w:vAlign w:val="center"/>
          </w:tcPr>
          <w:p w:rsidR="00994D68" w:rsidRPr="00C537EC" w:rsidRDefault="00C537EC" w:rsidP="00A748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2229,13</w:t>
            </w:r>
          </w:p>
        </w:tc>
        <w:tc>
          <w:tcPr>
            <w:tcW w:w="2508" w:type="dxa"/>
            <w:gridSpan w:val="2"/>
            <w:vAlign w:val="center"/>
          </w:tcPr>
          <w:p w:rsidR="00994D68" w:rsidRPr="00E77CB9" w:rsidRDefault="00C537EC" w:rsidP="00C537E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2250,14</w:t>
            </w:r>
          </w:p>
        </w:tc>
        <w:tc>
          <w:tcPr>
            <w:tcW w:w="2126" w:type="dxa"/>
            <w:gridSpan w:val="2"/>
            <w:vAlign w:val="center"/>
          </w:tcPr>
          <w:p w:rsidR="00994D68" w:rsidRPr="00E77CB9" w:rsidRDefault="00C537EC" w:rsidP="00F71A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2418,82</w:t>
            </w:r>
          </w:p>
        </w:tc>
      </w:tr>
      <w:tr w:rsidR="00F71A7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</w:tcPr>
          <w:p w:rsidR="00F71A78" w:rsidRPr="00E77CB9" w:rsidRDefault="00F71A78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Сбалансированность бюджета</w:t>
            </w:r>
          </w:p>
        </w:tc>
        <w:tc>
          <w:tcPr>
            <w:tcW w:w="2028" w:type="dxa"/>
            <w:gridSpan w:val="2"/>
            <w:vAlign w:val="center"/>
          </w:tcPr>
          <w:p w:rsidR="00F71A78" w:rsidRPr="00C537EC" w:rsidRDefault="00C537EC" w:rsidP="00A748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7357,91</w:t>
            </w:r>
          </w:p>
        </w:tc>
        <w:tc>
          <w:tcPr>
            <w:tcW w:w="2508" w:type="dxa"/>
            <w:gridSpan w:val="2"/>
            <w:vAlign w:val="center"/>
          </w:tcPr>
          <w:p w:rsidR="00F71A78" w:rsidRPr="00C537EC" w:rsidRDefault="00C537EC" w:rsidP="00F7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7277,52</w:t>
            </w:r>
          </w:p>
        </w:tc>
        <w:tc>
          <w:tcPr>
            <w:tcW w:w="2126" w:type="dxa"/>
            <w:gridSpan w:val="2"/>
            <w:vAlign w:val="center"/>
          </w:tcPr>
          <w:p w:rsidR="00F71A78" w:rsidRPr="00C537EC" w:rsidRDefault="00C537EC" w:rsidP="00F7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7031,42</w:t>
            </w:r>
          </w:p>
        </w:tc>
      </w:tr>
    </w:tbl>
    <w:p w:rsidR="00C537EC" w:rsidRPr="00E77CB9" w:rsidRDefault="00C537EC" w:rsidP="00994D68">
      <w:pPr>
        <w:pStyle w:val="Default"/>
        <w:rPr>
          <w:sz w:val="28"/>
          <w:szCs w:val="28"/>
        </w:rPr>
      </w:pPr>
    </w:p>
    <w:p w:rsidR="00A74892" w:rsidRDefault="00A74892" w:rsidP="00A74892">
      <w:pPr>
        <w:pStyle w:val="Default"/>
        <w:rPr>
          <w:b/>
          <w:bCs/>
          <w:sz w:val="28"/>
          <w:szCs w:val="28"/>
        </w:rPr>
      </w:pPr>
      <w:r w:rsidRPr="00E77CB9">
        <w:rPr>
          <w:b/>
          <w:bCs/>
          <w:sz w:val="28"/>
          <w:szCs w:val="28"/>
        </w:rPr>
        <w:t xml:space="preserve">Распределение бюджетных ассигнований на исполнение расходных обязательств муниципального образования Зотинский сельсовет </w:t>
      </w:r>
    </w:p>
    <w:p w:rsidR="00C537EC" w:rsidRPr="00E77CB9" w:rsidRDefault="00C537EC" w:rsidP="00A74892">
      <w:pPr>
        <w:pStyle w:val="Default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80"/>
        <w:gridCol w:w="2783"/>
        <w:gridCol w:w="838"/>
        <w:gridCol w:w="13"/>
        <w:gridCol w:w="1302"/>
        <w:gridCol w:w="232"/>
        <w:gridCol w:w="540"/>
        <w:gridCol w:w="630"/>
        <w:gridCol w:w="283"/>
        <w:gridCol w:w="1170"/>
      </w:tblGrid>
      <w:tr w:rsidR="00A74892" w:rsidRPr="00E77CB9" w:rsidTr="00E57048">
        <w:trPr>
          <w:trHeight w:val="202"/>
        </w:trPr>
        <w:tc>
          <w:tcPr>
            <w:tcW w:w="2384" w:type="pct"/>
            <w:gridSpan w:val="2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8" w:type="pct"/>
            <w:gridSpan w:val="5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8" w:type="pct"/>
            <w:gridSpan w:val="3"/>
            <w:tcBorders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</w:tr>
      <w:tr w:rsidR="00816276" w:rsidRPr="00E77CB9" w:rsidTr="00E57048">
        <w:trPr>
          <w:trHeight w:val="56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Раздел</w:t>
            </w:r>
          </w:p>
          <w:p w:rsidR="00A74892" w:rsidRPr="00E77CB9" w:rsidRDefault="00A74892" w:rsidP="00816276">
            <w:pPr>
              <w:pStyle w:val="Default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 xml:space="preserve">Наименование классификации расходов бюджетов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201</w:t>
            </w:r>
            <w:r w:rsidR="00C537EC">
              <w:rPr>
                <w:b/>
                <w:bCs/>
                <w:sz w:val="28"/>
                <w:szCs w:val="28"/>
              </w:rPr>
              <w:t>6</w:t>
            </w:r>
            <w:r w:rsidRPr="00E77CB9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201</w:t>
            </w:r>
            <w:r w:rsidR="00C537EC">
              <w:rPr>
                <w:b/>
                <w:bCs/>
                <w:sz w:val="28"/>
                <w:szCs w:val="28"/>
              </w:rPr>
              <w:t>7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201</w:t>
            </w:r>
            <w:r w:rsidR="00C537EC">
              <w:rPr>
                <w:b/>
                <w:bCs/>
                <w:sz w:val="28"/>
                <w:szCs w:val="28"/>
              </w:rPr>
              <w:t>8</w:t>
            </w:r>
            <w:r w:rsidRPr="00E77C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7CB9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77CB9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16276" w:rsidRPr="00E77CB9" w:rsidTr="00E57048">
        <w:trPr>
          <w:trHeight w:val="1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ind w:left="-156" w:firstLine="15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4892" w:rsidRPr="00E77CB9" w:rsidRDefault="00A74892" w:rsidP="008162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16276" w:rsidRPr="00E77CB9" w:rsidTr="00E57048">
        <w:trPr>
          <w:trHeight w:val="347"/>
        </w:trPr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0100 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4238,88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77CB9" w:rsidRDefault="00C537EC" w:rsidP="0081627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4238,88</w:t>
            </w: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77CB9" w:rsidRDefault="00C537EC" w:rsidP="0081627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4238,88</w:t>
            </w:r>
          </w:p>
        </w:tc>
      </w:tr>
      <w:tr w:rsidR="00816276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0200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ind w:left="-156" w:firstLine="156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E8" w:rsidRPr="00E77CB9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BF58E8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16276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0400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ind w:left="-156" w:firstLine="156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2569,50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2571,60</w:t>
            </w:r>
          </w:p>
        </w:tc>
      </w:tr>
      <w:tr w:rsidR="00816276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0500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E407B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1890,86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E407B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1529,16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E407B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1141,14</w:t>
            </w:r>
          </w:p>
        </w:tc>
      </w:tr>
      <w:tr w:rsidR="00816276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0800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3029,88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3029,88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3029,88</w:t>
            </w:r>
          </w:p>
        </w:tc>
      </w:tr>
      <w:tr w:rsidR="00C537EC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7EC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EC" w:rsidRPr="00E77CB9" w:rsidRDefault="00C537EC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58,51</w:t>
            </w:r>
          </w:p>
        </w:tc>
      </w:tr>
      <w:tr w:rsidR="00816276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1146,11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1146,11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77CB9" w:rsidRDefault="0063502F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C537EC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1146,11</w:t>
            </w:r>
          </w:p>
        </w:tc>
      </w:tr>
      <w:tr w:rsidR="00816276" w:rsidRPr="00E77CB9" w:rsidTr="00E57048">
        <w:trPr>
          <w:trHeight w:val="10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  <w:r w:rsidRPr="00E77CB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E8" w:rsidRPr="00E77CB9" w:rsidRDefault="00BF58E8" w:rsidP="0081627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8" w:rsidRPr="00E77CB9" w:rsidRDefault="00BF58E8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E8" w:rsidRPr="00E77CB9" w:rsidRDefault="00C537EC" w:rsidP="008162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764,02</w:t>
            </w:r>
          </w:p>
        </w:tc>
      </w:tr>
      <w:tr w:rsidR="00816276" w:rsidTr="00E57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822" w:type="pct"/>
            <w:gridSpan w:val="3"/>
          </w:tcPr>
          <w:p w:rsidR="00816276" w:rsidRDefault="00816276">
            <w:pPr>
              <w:rPr>
                <w:sz w:val="28"/>
                <w:szCs w:val="28"/>
              </w:rPr>
            </w:pPr>
            <w:r w:rsidRPr="00E77CB9">
              <w:rPr>
                <w:rFonts w:ascii="Times New Roman" w:hAnsi="Times New Roman" w:cs="Times New Roman"/>
                <w:sz w:val="28"/>
                <w:szCs w:val="28"/>
              </w:rPr>
              <w:t xml:space="preserve">Итого расходов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816276" w:rsidRDefault="00C537E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13041,79</w:t>
            </w:r>
            <w:r w:rsidR="0081627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2" w:type="pct"/>
            <w:gridSpan w:val="3"/>
            <w:shd w:val="clear" w:color="auto" w:fill="auto"/>
          </w:tcPr>
          <w:p w:rsidR="00816276" w:rsidRDefault="00C537E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13037,96</w:t>
            </w:r>
            <w:r w:rsidR="00816276" w:rsidRPr="00E77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627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816276" w:rsidRDefault="00C537E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12950,14</w:t>
            </w:r>
          </w:p>
        </w:tc>
      </w:tr>
    </w:tbl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sectPr w:rsidR="006000BA" w:rsidRPr="00E77CB9" w:rsidSect="00E570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hybridMultilevel"/>
    <w:tmpl w:val="1BDC0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6F56"/>
    <w:rsid w:val="000251C3"/>
    <w:rsid w:val="0005356F"/>
    <w:rsid w:val="00091A2A"/>
    <w:rsid w:val="000B4FF1"/>
    <w:rsid w:val="0014484D"/>
    <w:rsid w:val="00153338"/>
    <w:rsid w:val="001671D3"/>
    <w:rsid w:val="001A162B"/>
    <w:rsid w:val="001A630E"/>
    <w:rsid w:val="001D5372"/>
    <w:rsid w:val="0023346E"/>
    <w:rsid w:val="002601A2"/>
    <w:rsid w:val="00265B60"/>
    <w:rsid w:val="002B14C5"/>
    <w:rsid w:val="00307D72"/>
    <w:rsid w:val="00337123"/>
    <w:rsid w:val="003B0BE4"/>
    <w:rsid w:val="00416997"/>
    <w:rsid w:val="0049362D"/>
    <w:rsid w:val="004C1AFC"/>
    <w:rsid w:val="004C5D6B"/>
    <w:rsid w:val="004D749C"/>
    <w:rsid w:val="004F1E6D"/>
    <w:rsid w:val="004F541B"/>
    <w:rsid w:val="005021EF"/>
    <w:rsid w:val="00522FBF"/>
    <w:rsid w:val="00525468"/>
    <w:rsid w:val="00563B54"/>
    <w:rsid w:val="0059027C"/>
    <w:rsid w:val="006000BA"/>
    <w:rsid w:val="0063502F"/>
    <w:rsid w:val="00661C68"/>
    <w:rsid w:val="0066657A"/>
    <w:rsid w:val="0067134A"/>
    <w:rsid w:val="0067619B"/>
    <w:rsid w:val="00693A78"/>
    <w:rsid w:val="006B4BFF"/>
    <w:rsid w:val="00720557"/>
    <w:rsid w:val="0073522C"/>
    <w:rsid w:val="00737E75"/>
    <w:rsid w:val="007564E6"/>
    <w:rsid w:val="00774733"/>
    <w:rsid w:val="00776E71"/>
    <w:rsid w:val="007971CE"/>
    <w:rsid w:val="007A52FD"/>
    <w:rsid w:val="007E6F56"/>
    <w:rsid w:val="007F72FE"/>
    <w:rsid w:val="00816276"/>
    <w:rsid w:val="00816420"/>
    <w:rsid w:val="00820F9B"/>
    <w:rsid w:val="00874082"/>
    <w:rsid w:val="00880EBA"/>
    <w:rsid w:val="00967022"/>
    <w:rsid w:val="0096710E"/>
    <w:rsid w:val="00993861"/>
    <w:rsid w:val="00994D68"/>
    <w:rsid w:val="00A32EA0"/>
    <w:rsid w:val="00A74892"/>
    <w:rsid w:val="00AA4B8E"/>
    <w:rsid w:val="00AB0C01"/>
    <w:rsid w:val="00AE52DD"/>
    <w:rsid w:val="00AF2E7D"/>
    <w:rsid w:val="00B102F1"/>
    <w:rsid w:val="00B1430B"/>
    <w:rsid w:val="00B319AF"/>
    <w:rsid w:val="00B57D04"/>
    <w:rsid w:val="00B627A6"/>
    <w:rsid w:val="00B82590"/>
    <w:rsid w:val="00B90AF4"/>
    <w:rsid w:val="00BD6EB9"/>
    <w:rsid w:val="00BF58E8"/>
    <w:rsid w:val="00C21F81"/>
    <w:rsid w:val="00C537EC"/>
    <w:rsid w:val="00C6240A"/>
    <w:rsid w:val="00CC451C"/>
    <w:rsid w:val="00CC4A08"/>
    <w:rsid w:val="00CD7CB5"/>
    <w:rsid w:val="00CE407B"/>
    <w:rsid w:val="00CF13F1"/>
    <w:rsid w:val="00CF20CB"/>
    <w:rsid w:val="00D044AA"/>
    <w:rsid w:val="00D05BED"/>
    <w:rsid w:val="00D167D8"/>
    <w:rsid w:val="00D33AD4"/>
    <w:rsid w:val="00D734AD"/>
    <w:rsid w:val="00D952BB"/>
    <w:rsid w:val="00DD7055"/>
    <w:rsid w:val="00E149F2"/>
    <w:rsid w:val="00E31E9C"/>
    <w:rsid w:val="00E3687F"/>
    <w:rsid w:val="00E57048"/>
    <w:rsid w:val="00E77CB9"/>
    <w:rsid w:val="00F00753"/>
    <w:rsid w:val="00F244DE"/>
    <w:rsid w:val="00F5444B"/>
    <w:rsid w:val="00F56E14"/>
    <w:rsid w:val="00F60816"/>
    <w:rsid w:val="00F71A78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Shading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lk">
    <w:name w:val="blk"/>
    <w:basedOn w:val="a0"/>
    <w:rsid w:val="0066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F26A-B78E-442E-A8CB-939E428F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Сельсовет</cp:lastModifiedBy>
  <cp:revision>23</cp:revision>
  <cp:lastPrinted>2015-11-19T04:43:00Z</cp:lastPrinted>
  <dcterms:created xsi:type="dcterms:W3CDTF">2013-10-20T06:29:00Z</dcterms:created>
  <dcterms:modified xsi:type="dcterms:W3CDTF">2015-11-25T04:50:00Z</dcterms:modified>
</cp:coreProperties>
</file>